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CE" w:rsidRPr="00A11D7E" w:rsidRDefault="00A11D7E" w:rsidP="00A11D7E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8"/>
          <w:szCs w:val="28"/>
        </w:rPr>
        <w:t>宅老所助成事業実施要綱</w:t>
      </w:r>
    </w:p>
    <w:p w:rsidR="00A565CE" w:rsidRPr="00A11D7E" w:rsidRDefault="00A565C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（目的）</w:t>
      </w:r>
    </w:p>
    <w:p w:rsidR="00B274AB" w:rsidRDefault="00A565C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第１条　この要綱は、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A11D7E">
          <w:rPr>
            <w:rFonts w:ascii="ＭＳ ゴシック" w:eastAsia="ＭＳ ゴシック" w:hAnsi="ＭＳ ゴシック" w:hint="eastAsia"/>
            <w:sz w:val="22"/>
          </w:rPr>
          <w:t>伊勢市</w:t>
        </w:r>
      </w:smartTag>
      <w:r w:rsidRPr="00A11D7E">
        <w:rPr>
          <w:rFonts w:ascii="ＭＳ ゴシック" w:eastAsia="ＭＳ ゴシック" w:hAnsi="ＭＳ ゴシック" w:hint="eastAsia"/>
          <w:sz w:val="22"/>
        </w:rPr>
        <w:t>社会福祉協議会（以下「社協」という。）が、家に閉じこ</w:t>
      </w:r>
      <w:r w:rsidR="00A11D7E">
        <w:rPr>
          <w:rFonts w:ascii="ＭＳ ゴシック" w:eastAsia="ＭＳ ゴシック" w:hAnsi="ＭＳ ゴシック" w:hint="eastAsia"/>
          <w:sz w:val="22"/>
        </w:rPr>
        <w:t>もりが</w:t>
      </w:r>
    </w:p>
    <w:p w:rsidR="00B274AB" w:rsidRDefault="00A11D7E" w:rsidP="00B274AB">
      <w:pPr>
        <w:spacing w:line="20" w:lineRule="atLeast"/>
        <w:ind w:firstLineChars="100" w:firstLine="20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ちに</w:t>
      </w:r>
      <w:r w:rsidR="00A565CE" w:rsidRPr="00A11D7E">
        <w:rPr>
          <w:rFonts w:ascii="ＭＳ ゴシック" w:eastAsia="ＭＳ ゴシック" w:hAnsi="ＭＳ ゴシック" w:hint="eastAsia"/>
          <w:sz w:val="22"/>
        </w:rPr>
        <w:t>なっている高齢者等が、社会活動に参加しやすいようにすることを目的にして運営され</w:t>
      </w:r>
    </w:p>
    <w:p w:rsidR="00B274AB" w:rsidRDefault="00A565CE" w:rsidP="00B274AB">
      <w:pPr>
        <w:spacing w:line="20" w:lineRule="atLeast"/>
        <w:ind w:firstLineChars="100" w:firstLine="203"/>
        <w:rPr>
          <w:rFonts w:ascii="ＭＳ ゴシック" w:eastAsia="ＭＳ ゴシック" w:hAnsi="ＭＳ ゴシック"/>
          <w:kern w:val="0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ている「宅老所」に対し、事</w:t>
      </w:r>
      <w:r w:rsidRPr="00A11D7E">
        <w:rPr>
          <w:rFonts w:ascii="ＭＳ ゴシック" w:eastAsia="ＭＳ ゴシック" w:hAnsi="ＭＳ ゴシック" w:hint="eastAsia"/>
          <w:kern w:val="0"/>
          <w:sz w:val="22"/>
        </w:rPr>
        <w:t>業に係る費用の一部を助成することにより、高齢者等の福祉の</w:t>
      </w:r>
    </w:p>
    <w:p w:rsidR="009723E7" w:rsidRPr="00A11D7E" w:rsidRDefault="00A565CE" w:rsidP="00B274AB">
      <w:pPr>
        <w:spacing w:line="20" w:lineRule="atLeast"/>
        <w:ind w:firstLineChars="100" w:firstLine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kern w:val="0"/>
          <w:sz w:val="22"/>
        </w:rPr>
        <w:t>向上を図ることを目的に定める。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kern w:val="0"/>
          <w:sz w:val="22"/>
        </w:rPr>
      </w:pP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（宅老所の基準）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第２条　宅老所を実施する場合は、次の事項を基準とする。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（１）地域の自治組織、地域ボランティア等との協力体制が図られていること。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（２）６５歳以上の方が１０人以上参加すること。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（３）開所回数は週２回とし、食事をはさみ４時間程度とすること。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 xml:space="preserve">　　　但し、立ち上げ当初から１年間の開所回数は、この限りではない。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（４）宅老所を運営するための定まった場所を確保し、看板を掲げること。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（５）参加者から利用料を徴収すること。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（助成対象経費）</w:t>
      </w:r>
    </w:p>
    <w:p w:rsidR="00B274AB" w:rsidRDefault="00A11D7E" w:rsidP="00B274AB">
      <w:pPr>
        <w:spacing w:line="20" w:lineRule="atLeast"/>
        <w:ind w:left="203" w:hangingChars="100" w:hanging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第３条　助成金の交付対象となる経費は、宅老所が事業を実施するために直接要する経費とし、</w:t>
      </w:r>
    </w:p>
    <w:p w:rsidR="00A11D7E" w:rsidRPr="00A11D7E" w:rsidRDefault="00A11D7E" w:rsidP="00B274AB">
      <w:pPr>
        <w:spacing w:line="20" w:lineRule="atLeast"/>
        <w:ind w:left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別表に定めるものとする。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（助成金の条件）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第４条　助成限度額は、次の各号に掲げるものとし、予算の範囲内で助成する。</w:t>
      </w:r>
    </w:p>
    <w:p w:rsidR="00B274AB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（１）立ち上げ時の助成金は１回限りで、上限は３０万円とし、経費の１０分の８を乗じて得</w:t>
      </w:r>
    </w:p>
    <w:p w:rsidR="00A11D7E" w:rsidRPr="00A11D7E" w:rsidRDefault="00A11D7E" w:rsidP="00B274AB">
      <w:pPr>
        <w:spacing w:line="20" w:lineRule="atLeast"/>
        <w:ind w:firstLineChars="100" w:firstLine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た額とする。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（２）立ち上げから２年目以降の助成金は、上限１５万円とする。</w:t>
      </w:r>
    </w:p>
    <w:p w:rsidR="00A11D7E" w:rsidRPr="00A11D7E" w:rsidRDefault="00292A60" w:rsidP="00B274AB">
      <w:pPr>
        <w:spacing w:line="20" w:lineRule="atLeast"/>
        <w:ind w:firstLineChars="300" w:firstLine="6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但</w:t>
      </w:r>
      <w:r w:rsidR="00A11D7E" w:rsidRPr="00A11D7E">
        <w:rPr>
          <w:rFonts w:ascii="ＭＳ ゴシック" w:eastAsia="ＭＳ ゴシック" w:hAnsi="ＭＳ ゴシック" w:hint="eastAsia"/>
          <w:sz w:val="22"/>
        </w:rPr>
        <w:t>し、社協の他の助成を受けている、または受けようとする宅老所は除く。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（助成金の申請）</w:t>
      </w:r>
    </w:p>
    <w:p w:rsidR="00B274AB" w:rsidRDefault="00A11D7E" w:rsidP="00B274AB">
      <w:pPr>
        <w:spacing w:line="20" w:lineRule="atLeast"/>
        <w:ind w:left="203" w:hangingChars="100" w:hanging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第５条　助成を受けようとする宅老所は、宅老所助成金申請書（様式第１号）を社協が示した</w:t>
      </w:r>
    </w:p>
    <w:p w:rsidR="00A11D7E" w:rsidRPr="00A11D7E" w:rsidRDefault="00A11D7E" w:rsidP="00B274AB">
      <w:pPr>
        <w:spacing w:line="20" w:lineRule="atLeast"/>
        <w:ind w:left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期日までに社協会長へ提出する。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B274AB">
      <w:pPr>
        <w:spacing w:line="20" w:lineRule="atLeast"/>
        <w:ind w:left="203" w:hangingChars="100" w:hanging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（助成の決定）</w:t>
      </w:r>
    </w:p>
    <w:p w:rsidR="00B274AB" w:rsidRDefault="00A11D7E" w:rsidP="00B274AB">
      <w:pPr>
        <w:spacing w:line="20" w:lineRule="atLeast"/>
        <w:ind w:left="203" w:hangingChars="100" w:hanging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第６条　社協会長が前条の申請書を受理したときは、その内容を審査して助成の適否を決定し、</w:t>
      </w:r>
    </w:p>
    <w:p w:rsidR="00B274AB" w:rsidRDefault="00A11D7E" w:rsidP="00B274AB">
      <w:pPr>
        <w:spacing w:line="20" w:lineRule="atLeast"/>
        <w:ind w:left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宅老所助成金決定通知書（様式第２号－１）または宅老所助成金却下通知書（様式第２号－</w:t>
      </w:r>
    </w:p>
    <w:p w:rsidR="00A11D7E" w:rsidRPr="00A11D7E" w:rsidRDefault="00A11D7E" w:rsidP="00B274AB">
      <w:pPr>
        <w:spacing w:line="20" w:lineRule="atLeast"/>
        <w:ind w:left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２）を宅老所へ通知する。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（事業の報告）</w:t>
      </w:r>
    </w:p>
    <w:p w:rsidR="00B274AB" w:rsidRDefault="00A11D7E" w:rsidP="00B274AB">
      <w:pPr>
        <w:spacing w:line="20" w:lineRule="atLeast"/>
        <w:ind w:left="203" w:hangingChars="100" w:hanging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第７条　助成を受けた宅老所は、宅老所助成事業実施報告書（様式第３号）、領収</w:t>
      </w:r>
      <w:r w:rsidR="000E3F6E">
        <w:rPr>
          <w:rFonts w:ascii="ＭＳ ゴシック" w:eastAsia="ＭＳ ゴシック" w:hAnsi="ＭＳ ゴシック" w:hint="eastAsia"/>
          <w:sz w:val="22"/>
        </w:rPr>
        <w:t>書</w:t>
      </w:r>
      <w:r w:rsidRPr="00A11D7E">
        <w:rPr>
          <w:rFonts w:ascii="ＭＳ ゴシック" w:eastAsia="ＭＳ ゴシック" w:hAnsi="ＭＳ ゴシック" w:hint="eastAsia"/>
          <w:sz w:val="22"/>
        </w:rPr>
        <w:t>を別に定</w:t>
      </w:r>
    </w:p>
    <w:p w:rsidR="00A11D7E" w:rsidRPr="00A11D7E" w:rsidRDefault="00A11D7E" w:rsidP="00B274AB">
      <w:pPr>
        <w:spacing w:line="20" w:lineRule="atLeast"/>
        <w:ind w:left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める期日までに、社協会長へ提出する。</w:t>
      </w:r>
    </w:p>
    <w:p w:rsidR="00A11D7E" w:rsidRPr="00A11D7E" w:rsidRDefault="00A11D7E" w:rsidP="00B274AB">
      <w:pPr>
        <w:spacing w:line="20" w:lineRule="atLeast"/>
        <w:ind w:left="203" w:hangingChars="100" w:hanging="203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lastRenderedPageBreak/>
        <w:t>（助成金の返還）</w:t>
      </w:r>
    </w:p>
    <w:p w:rsidR="00B274AB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第８条　助成金を受けた宅老所が、災害その他、特別な事由による場合を除く他、正当な理由</w:t>
      </w:r>
    </w:p>
    <w:p w:rsidR="00B274AB" w:rsidRDefault="00A11D7E" w:rsidP="00B274AB">
      <w:pPr>
        <w:spacing w:line="20" w:lineRule="atLeast"/>
        <w:ind w:firstLineChars="100" w:firstLine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なく次に掲げるいずれかに該当するときは、助成金の全額又は、一部を返還しなければなら</w:t>
      </w:r>
    </w:p>
    <w:p w:rsidR="00A11D7E" w:rsidRPr="00A11D7E" w:rsidRDefault="00A11D7E" w:rsidP="00B274AB">
      <w:pPr>
        <w:spacing w:line="20" w:lineRule="atLeast"/>
        <w:ind w:firstLineChars="100" w:firstLine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ない。</w:t>
      </w:r>
    </w:p>
    <w:p w:rsidR="00A11D7E" w:rsidRPr="00A11D7E" w:rsidRDefault="00A11D7E" w:rsidP="00B274AB">
      <w:pPr>
        <w:spacing w:line="2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（１）宅老所を実施せず、又は実施する意思が認められないとき。</w:t>
      </w: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（２）宅老所を中止し、完了する見込みがないとき。</w:t>
      </w: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（３）助成金を目的外に使用したとき。</w:t>
      </w: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（補則）</w:t>
      </w:r>
    </w:p>
    <w:p w:rsidR="00B274AB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第９条　この要綱に定めるもののほか、事業の実施に関し必要な事項は、社協会長が別に定め</w:t>
      </w:r>
    </w:p>
    <w:p w:rsidR="00A11D7E" w:rsidRPr="00A11D7E" w:rsidRDefault="00A11D7E" w:rsidP="00B274AB">
      <w:pPr>
        <w:spacing w:line="0" w:lineRule="atLeast"/>
        <w:ind w:firstLineChars="100" w:firstLine="203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る。</w:t>
      </w: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附則</w:t>
      </w: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 xml:space="preserve">　この要綱は、平成１９年　４月　１日より施行する。</w:t>
      </w: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 xml:space="preserve">　この要綱は、平成２１年　８月　１日より施行する。</w:t>
      </w: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 xml:space="preserve">　この要綱は、平成２５年　４月　１日より施行する。</w:t>
      </w:r>
    </w:p>
    <w:p w:rsidR="00A11D7E" w:rsidRPr="00A11D7E" w:rsidRDefault="00A11D7E" w:rsidP="00A11D7E">
      <w:pPr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 xml:space="preserve">　この要綱は、平成２５年１０月　１日より施行する。</w:t>
      </w:r>
    </w:p>
    <w:p w:rsid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 xml:space="preserve">　この要綱は、平成２８年　４月　１日より施行する。</w:t>
      </w:r>
    </w:p>
    <w:p w:rsidR="0010706C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別表（第３条関係）</w:t>
      </w:r>
    </w:p>
    <w:p w:rsidR="0010706C" w:rsidRPr="00A11D7E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A11D7E" w:rsidRP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A11D7E">
        <w:rPr>
          <w:rFonts w:ascii="ＭＳ ゴシック" w:eastAsia="ＭＳ ゴシック" w:hAnsi="ＭＳ ゴシック" w:hint="eastAsia"/>
          <w:sz w:val="22"/>
        </w:rPr>
        <w:t>１　助成対象となる経費</w:t>
      </w:r>
    </w:p>
    <w:tbl>
      <w:tblPr>
        <w:tblW w:w="4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14"/>
      </w:tblGrid>
      <w:tr w:rsidR="00A11D7E" w:rsidRPr="00A11D7E" w:rsidTr="00A11D7E">
        <w:trPr>
          <w:trHeight w:val="407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</w:tr>
      <w:tr w:rsidR="00A11D7E" w:rsidRPr="00A11D7E" w:rsidTr="00A11D7E">
        <w:trPr>
          <w:trHeight w:val="408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改修費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空き家等を利用している場合の家屋等の修理</w:t>
            </w:r>
          </w:p>
        </w:tc>
      </w:tr>
      <w:tr w:rsidR="00A11D7E" w:rsidRPr="00A11D7E" w:rsidTr="00A11D7E">
        <w:trPr>
          <w:trHeight w:val="407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備品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パソコン、冷暖房機、テーブル等</w:t>
            </w:r>
          </w:p>
        </w:tc>
      </w:tr>
      <w:tr w:rsidR="00A11D7E" w:rsidRPr="00A11D7E" w:rsidTr="00A11D7E">
        <w:trPr>
          <w:trHeight w:val="408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コピー用紙、インク等</w:t>
            </w:r>
          </w:p>
        </w:tc>
      </w:tr>
      <w:tr w:rsidR="00A11D7E" w:rsidRPr="00A11D7E" w:rsidTr="00A11D7E">
        <w:trPr>
          <w:trHeight w:val="408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材料費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行事で使用する材料費（工作等の材料、食材料等）</w:t>
            </w:r>
          </w:p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※但し、仕出し弁当など外注の食事は対象外</w:t>
            </w:r>
          </w:p>
        </w:tc>
      </w:tr>
      <w:tr w:rsidR="00A11D7E" w:rsidRPr="00A11D7E" w:rsidTr="00A11D7E">
        <w:trPr>
          <w:trHeight w:val="407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水道光熱費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上下水道料、電気料、ガス料、</w:t>
            </w:r>
          </w:p>
        </w:tc>
      </w:tr>
      <w:tr w:rsidR="00A11D7E" w:rsidRPr="00A11D7E" w:rsidTr="00A11D7E">
        <w:trPr>
          <w:trHeight w:val="408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賃借料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家賃料</w:t>
            </w:r>
          </w:p>
        </w:tc>
      </w:tr>
      <w:tr w:rsidR="00A11D7E" w:rsidRPr="00A11D7E" w:rsidTr="00A11D7E">
        <w:trPr>
          <w:trHeight w:val="407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電話料</w:t>
            </w:r>
          </w:p>
        </w:tc>
      </w:tr>
      <w:tr w:rsidR="00A11D7E" w:rsidRPr="00A11D7E" w:rsidTr="00A11D7E">
        <w:trPr>
          <w:trHeight w:val="408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燃料費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ガソリン、灯油</w:t>
            </w:r>
          </w:p>
        </w:tc>
      </w:tr>
      <w:tr w:rsidR="00A11D7E" w:rsidRPr="00A11D7E" w:rsidTr="00A11D7E">
        <w:trPr>
          <w:trHeight w:val="408"/>
        </w:trPr>
        <w:tc>
          <w:tcPr>
            <w:tcW w:w="1266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損害保険料</w:t>
            </w:r>
          </w:p>
        </w:tc>
        <w:tc>
          <w:tcPr>
            <w:tcW w:w="3734" w:type="pct"/>
            <w:vAlign w:val="center"/>
          </w:tcPr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借家にかかる保険料（火災保険、地震保険等）</w:t>
            </w:r>
          </w:p>
          <w:p w:rsidR="00A11D7E" w:rsidRPr="00A11D7E" w:rsidRDefault="00A11D7E" w:rsidP="00A11D7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11D7E">
              <w:rPr>
                <w:rFonts w:ascii="ＭＳ ゴシック" w:eastAsia="ＭＳ ゴシック" w:hAnsi="ＭＳ ゴシック" w:hint="eastAsia"/>
                <w:sz w:val="22"/>
              </w:rPr>
              <w:t>※但し、ボランティア活動保険は除く</w:t>
            </w:r>
          </w:p>
        </w:tc>
      </w:tr>
    </w:tbl>
    <w:p w:rsidR="00A11D7E" w:rsidRDefault="00A11D7E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0706C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0706C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0706C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0706C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0706C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10706C" w:rsidRDefault="0010706C" w:rsidP="00A11D7E">
      <w:pPr>
        <w:spacing w:line="0" w:lineRule="atLeas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10706C" w:rsidSect="00B274A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60" w:rsidRDefault="00292A60" w:rsidP="00E40C89">
      <w:r>
        <w:separator/>
      </w:r>
    </w:p>
  </w:endnote>
  <w:endnote w:type="continuationSeparator" w:id="0">
    <w:p w:rsidR="00292A60" w:rsidRDefault="00292A60" w:rsidP="00E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60" w:rsidRDefault="00292A60" w:rsidP="00E40C89">
      <w:r>
        <w:separator/>
      </w:r>
    </w:p>
  </w:footnote>
  <w:footnote w:type="continuationSeparator" w:id="0">
    <w:p w:rsidR="00292A60" w:rsidRDefault="00292A60" w:rsidP="00E4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CE"/>
    <w:rsid w:val="000B53B2"/>
    <w:rsid w:val="000E3F6E"/>
    <w:rsid w:val="0010706C"/>
    <w:rsid w:val="00292A60"/>
    <w:rsid w:val="002D2AE0"/>
    <w:rsid w:val="002D432C"/>
    <w:rsid w:val="003616B9"/>
    <w:rsid w:val="003B423F"/>
    <w:rsid w:val="00537C5A"/>
    <w:rsid w:val="0067629A"/>
    <w:rsid w:val="00683428"/>
    <w:rsid w:val="00730EE6"/>
    <w:rsid w:val="007F7D5C"/>
    <w:rsid w:val="00860555"/>
    <w:rsid w:val="009129BE"/>
    <w:rsid w:val="00957529"/>
    <w:rsid w:val="009723E7"/>
    <w:rsid w:val="00A11D7E"/>
    <w:rsid w:val="00A565CE"/>
    <w:rsid w:val="00A934A8"/>
    <w:rsid w:val="00B274AB"/>
    <w:rsid w:val="00B54073"/>
    <w:rsid w:val="00B55927"/>
    <w:rsid w:val="00E40C89"/>
    <w:rsid w:val="00E468CC"/>
    <w:rsid w:val="00E73BC9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E19820-FCE2-446A-99EF-2741E86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70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10706C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1070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10706C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10706C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本文 (文字)"/>
    <w:basedOn w:val="a0"/>
    <w:link w:val="a7"/>
    <w:rsid w:val="0010706C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7F7D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75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E40C89"/>
  </w:style>
  <w:style w:type="paragraph" w:styleId="ae">
    <w:name w:val="footer"/>
    <w:basedOn w:val="a"/>
    <w:link w:val="af"/>
    <w:uiPriority w:val="99"/>
    <w:semiHidden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E4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35F8-79B9-4DD5-AB13-54DAA2F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iseshakyo</dc:creator>
  <cp:lastModifiedBy>辻　カエデ</cp:lastModifiedBy>
  <cp:revision>3</cp:revision>
  <cp:lastPrinted>2016-03-16T04:38:00Z</cp:lastPrinted>
  <dcterms:created xsi:type="dcterms:W3CDTF">2018-03-07T07:29:00Z</dcterms:created>
  <dcterms:modified xsi:type="dcterms:W3CDTF">2018-03-07T07:29:00Z</dcterms:modified>
</cp:coreProperties>
</file>